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0DC26" w14:textId="0809FD1A" w:rsidR="00CC48DF" w:rsidRPr="0063503D" w:rsidRDefault="007273B4" w:rsidP="007273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63503D">
        <w:rPr>
          <w:rFonts w:ascii="Times New Roman" w:hAnsi="Times New Roman" w:cs="Times New Roman"/>
          <w:b/>
          <w:bCs/>
          <w:sz w:val="24"/>
          <w:szCs w:val="24"/>
        </w:rPr>
        <w:t>Замечания по п</w:t>
      </w:r>
      <w:r w:rsidR="00013390">
        <w:rPr>
          <w:rFonts w:ascii="Times New Roman" w:hAnsi="Times New Roman" w:cs="Times New Roman"/>
          <w:b/>
          <w:bCs/>
          <w:sz w:val="24"/>
          <w:szCs w:val="24"/>
        </w:rPr>
        <w:t>роцедурам камерального контроля №</w:t>
      </w:r>
      <w:r w:rsidR="008F1CE4">
        <w:rPr>
          <w:rFonts w:ascii="Times New Roman" w:hAnsi="Times New Roman" w:cs="Times New Roman"/>
          <w:b/>
          <w:bCs/>
          <w:sz w:val="24"/>
          <w:szCs w:val="24"/>
        </w:rPr>
        <w:t>92 и</w:t>
      </w:r>
      <w:r w:rsidR="00013390">
        <w:rPr>
          <w:rFonts w:ascii="Times New Roman" w:hAnsi="Times New Roman" w:cs="Times New Roman"/>
          <w:b/>
          <w:bCs/>
          <w:sz w:val="24"/>
          <w:szCs w:val="24"/>
        </w:rPr>
        <w:t xml:space="preserve"> №96.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212"/>
        <w:gridCol w:w="5390"/>
        <w:gridCol w:w="5390"/>
      </w:tblGrid>
      <w:tr w:rsidR="0009148C" w:rsidRPr="00D967B7" w14:paraId="65CEE54E" w14:textId="46049EC4" w:rsidTr="0063503D">
        <w:tc>
          <w:tcPr>
            <w:tcW w:w="1148" w:type="pct"/>
          </w:tcPr>
          <w:p w14:paraId="4501F8EF" w14:textId="4C1EAE2A" w:rsidR="0009148C" w:rsidRPr="00D967B7" w:rsidRDefault="0009148C" w:rsidP="007273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Редакция процедуры</w:t>
            </w:r>
          </w:p>
        </w:tc>
        <w:tc>
          <w:tcPr>
            <w:tcW w:w="1926" w:type="pct"/>
          </w:tcPr>
          <w:p w14:paraId="77B7B58C" w14:textId="424ED003" w:rsidR="0009148C" w:rsidRPr="00D967B7" w:rsidRDefault="0009148C" w:rsidP="007273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Замечания </w:t>
            </w:r>
          </w:p>
        </w:tc>
        <w:tc>
          <w:tcPr>
            <w:tcW w:w="1926" w:type="pct"/>
          </w:tcPr>
          <w:p w14:paraId="3A4B96F3" w14:textId="0B6490A0" w:rsidR="0009148C" w:rsidRPr="00D967B7" w:rsidRDefault="0009148C" w:rsidP="007273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</w:t>
            </w:r>
          </w:p>
        </w:tc>
      </w:tr>
      <w:tr w:rsidR="0009148C" w:rsidRPr="00D967B7" w14:paraId="5B894ADF" w14:textId="00EAC8A4" w:rsidTr="0063503D">
        <w:trPr>
          <w:trHeight w:val="669"/>
        </w:trPr>
        <w:tc>
          <w:tcPr>
            <w:tcW w:w="5000" w:type="pct"/>
            <w:gridSpan w:val="3"/>
          </w:tcPr>
          <w:p w14:paraId="4A1FDF52" w14:textId="2F36429A" w:rsidR="0009148C" w:rsidRPr="00D967B7" w:rsidRDefault="0009148C" w:rsidP="0009148C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 № 92 «Выявление несоответствия совокупного годового дохода по ФНО 100.00, 220.00 с оборотом по реализации по ФНО 300.00»</w:t>
            </w:r>
          </w:p>
        </w:tc>
      </w:tr>
      <w:tr w:rsidR="0009148C" w:rsidRPr="00D967B7" w14:paraId="2E626F4B" w14:textId="43C718EB" w:rsidTr="0063503D">
        <w:tc>
          <w:tcPr>
            <w:tcW w:w="1148" w:type="pct"/>
          </w:tcPr>
          <w:p w14:paraId="4ED9CE22" w14:textId="2D6F3938" w:rsidR="0009148C" w:rsidRPr="00D967B7" w:rsidRDefault="0009148C" w:rsidP="0014174D">
            <w:pPr>
              <w:pStyle w:val="a3"/>
              <w:spacing w:before="60"/>
              <w:ind w:left="-120" w:firstLine="7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Процедура № 92 «Выявление несоответствия совокупного годового дохода по ФНО 100.00, 220.00 с оборотом по реализации по ФНО 300.00»</w:t>
            </w:r>
          </w:p>
        </w:tc>
        <w:tc>
          <w:tcPr>
            <w:tcW w:w="1926" w:type="pct"/>
          </w:tcPr>
          <w:p w14:paraId="496C8A7F" w14:textId="73A53A2D" w:rsidR="0009148C" w:rsidRPr="00D967B7" w:rsidRDefault="0009148C" w:rsidP="00B74DB1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Считаем, что проведение камерального контроля путем сверки доходов (КПН)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и облагаемого оборота (НДС)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мотодологически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 неверно, поскольку в Налоговом кодексе закреплены концептуально разные правила для определения размера и даты признания доходов (КПН) и оборота по реализации (НДС). В этой связи при сравнении налоговых баз по КПН и НДС любые несоответствия не являются признаком наличия нарушений. По этой же причине не понятна позиция налоговых органов, на основании которой такие несоответствия априори признаются нарушениями с различной степенью риска. </w:t>
            </w:r>
          </w:p>
          <w:p w14:paraId="6C848D0C" w14:textId="334D60AD" w:rsidR="0009148C" w:rsidRPr="00D967B7" w:rsidRDefault="0009148C" w:rsidP="00230C1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Таким образом, считаем, что при выявлении любых несоответствий между доходами по КПН и оборотами по НДС, налогоплательщики не должны рассматриваться в качестве нарушителей налогового законодательства, соответственно, в таких случаях уведомления по камеральному контролю не должны выставляться, особенно ввиду предусмотренных Налоговым кодексом мер в случае непринятия налоговым органом пояснений налогоплательщика (закрытие расчетных счетов при отсутствии обязательства по проведению налоговой проверки).  </w:t>
            </w:r>
          </w:p>
          <w:p w14:paraId="14C5D3E2" w14:textId="605F0868" w:rsidR="0009148C" w:rsidRPr="00D967B7" w:rsidRDefault="0009148C" w:rsidP="00230C1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Также, следует отметить, что в шаблоне данной процедуры камерального контроля 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отсутствует алгоритм определения критического значения несоответствия между КПН и НДС, при получении которого налоговый орган начинает принимать соответствующие меры, то есть непонятно, как осуществляется сопоставление показателей по доходу и обороту по реализации, какой размер расхождения признается «нарушением», требующим реагирования налогового органа.</w:t>
            </w:r>
          </w:p>
        </w:tc>
        <w:tc>
          <w:tcPr>
            <w:tcW w:w="1926" w:type="pct"/>
          </w:tcPr>
          <w:p w14:paraId="1AF6130D" w14:textId="77777777" w:rsidR="0009148C" w:rsidRPr="00D967B7" w:rsidRDefault="002343AD" w:rsidP="00B74DB1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ТОО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«KAZ Minerals Management»</w:t>
            </w:r>
          </w:p>
          <w:p w14:paraId="2FD499BD" w14:textId="77777777" w:rsidR="002343AD" w:rsidRPr="00D967B7" w:rsidRDefault="002343AD" w:rsidP="00B74DB1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59A4E3" w14:textId="77777777" w:rsidR="002343AD" w:rsidRPr="00D967B7" w:rsidRDefault="002343AD" w:rsidP="00B74DB1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ТОО Казцинк</w:t>
            </w:r>
          </w:p>
          <w:p w14:paraId="2937643B" w14:textId="77777777" w:rsidR="002343AD" w:rsidRPr="00D967B7" w:rsidRDefault="002343AD" w:rsidP="00B74DB1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3C34A" w14:textId="6A4AC828" w:rsidR="002343AD" w:rsidRPr="00D967B7" w:rsidRDefault="002343AD" w:rsidP="00B74DB1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7B7">
              <w:rPr>
                <w:rFonts w:ascii="Times New Roman" w:hAnsi="Times New Roman" w:cs="Times New Roman"/>
                <w:bCs/>
                <w:sz w:val="24"/>
                <w:szCs w:val="24"/>
              </w:rPr>
              <w:t>ТОО «Евразийская Группа»</w:t>
            </w:r>
          </w:p>
        </w:tc>
      </w:tr>
      <w:tr w:rsidR="004D72E6" w:rsidRPr="00D967B7" w14:paraId="09A3CDF6" w14:textId="77777777" w:rsidTr="0063503D">
        <w:tc>
          <w:tcPr>
            <w:tcW w:w="1148" w:type="pct"/>
          </w:tcPr>
          <w:p w14:paraId="023AB25C" w14:textId="0FD536D7" w:rsidR="004D72E6" w:rsidRPr="00D967B7" w:rsidRDefault="004D72E6" w:rsidP="00402551">
            <w:pPr>
              <w:pStyle w:val="a3"/>
              <w:spacing w:before="60"/>
              <w:ind w:left="-120" w:firstLine="72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Процедура № 92 «Выявление несоответствия совокупного годового дохода по ФНО 100.00, 220.00 с оборотом по реализации по ФНО 300.00»</w:t>
            </w:r>
          </w:p>
        </w:tc>
        <w:tc>
          <w:tcPr>
            <w:tcW w:w="1926" w:type="pct"/>
          </w:tcPr>
          <w:p w14:paraId="3F50E57C" w14:textId="77777777" w:rsidR="004D72E6" w:rsidRPr="00D967B7" w:rsidRDefault="004D72E6" w:rsidP="004D72E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Поскольку порядок формирования СГД для целей КПН и оборота по реализации для целей НДС методологически существенно различаются, на практике часто возникают ситуации наличия постоянных и временных разниц между указанными показателями, которые соответствуют требованиям Налогового кодекса.</w:t>
            </w:r>
          </w:p>
          <w:p w14:paraId="1D80A775" w14:textId="77777777" w:rsidR="004D72E6" w:rsidRPr="00D967B7" w:rsidRDefault="004D72E6" w:rsidP="004D72E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Так, например, при:</w:t>
            </w:r>
          </w:p>
          <w:p w14:paraId="6BA4EC13" w14:textId="77777777" w:rsidR="004D72E6" w:rsidRPr="00D967B7" w:rsidRDefault="004D72E6" w:rsidP="004D72E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реализации основных средств, земельных участков,  приобретенных ранее с НДС, оборотом по реализации будет являться вся стоимость реализации без НДС, тогда как по КПН в этом случае определяется доход от прироста стоимости или через выбытие ФА;</w:t>
            </w:r>
          </w:p>
          <w:p w14:paraId="31017410" w14:textId="77777777" w:rsidR="004D72E6" w:rsidRPr="00D967B7" w:rsidRDefault="004D72E6" w:rsidP="004D72E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наличии договоров безвозмездной передачи имущества размером оборота по реализации для передающей стороны является балансовая стоимость передаваемых товаров, подлежащей отражению (отраженной) в бухгалтерском учете налогоплательщика на дату их передачи, если иное не предусмотрено законодательством РК о трансфертном ценообразовании, тогда как по КПН этот оборот не признается доходом;  </w:t>
            </w:r>
          </w:p>
          <w:p w14:paraId="1FCE57AA" w14:textId="77777777" w:rsidR="004D72E6" w:rsidRPr="00D967B7" w:rsidRDefault="004D72E6" w:rsidP="004D72E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договорах комиссии или поручения оборот по реализации по НДС признается в момен отгрузки товаров комитентом в адрес комиссионера, тогда как по КПН доход признается в момент реализации товара конечному покупателю;</w:t>
            </w:r>
          </w:p>
          <w:p w14:paraId="4A05E408" w14:textId="77777777" w:rsidR="004D72E6" w:rsidRPr="00D967B7" w:rsidRDefault="004D72E6" w:rsidP="004D72E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реализации товаров, работ, услуг структурным подразделением юридического лица-резидента, зарегистрированного на территории иностранного государства, местом реализации которых не признается РК, по НДС не признается оборот по реализации такого юридического лица в РК, а по КПН – такой оборот является доходом юридического лица.</w:t>
            </w:r>
          </w:p>
          <w:p w14:paraId="5F09E77D" w14:textId="77777777" w:rsidR="004D72E6" w:rsidRPr="00D967B7" w:rsidRDefault="004D72E6" w:rsidP="004D72E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Кроме того, зачастую (по различным объективным и субъективным причинам) предоставление пояснений по данным законным разницам не принимается налоговыми органами с учетом наличия института принятия решений о признании уведомления неисполненным.</w:t>
            </w:r>
          </w:p>
          <w:p w14:paraId="20D91AE9" w14:textId="1A02856C" w:rsidR="004D72E6" w:rsidRPr="00D967B7" w:rsidRDefault="004D72E6" w:rsidP="004D72E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этой связи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считаем, что при выявлении по итогам камерального контроля несоответствий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между рассматриваемыми показателями КПН и НДС достаточно направления извещения в адрес налогоплательщика для сведения.</w:t>
            </w:r>
          </w:p>
        </w:tc>
        <w:tc>
          <w:tcPr>
            <w:tcW w:w="1926" w:type="pct"/>
          </w:tcPr>
          <w:p w14:paraId="43EA2BEC" w14:textId="5D3E0439" w:rsidR="004D72E6" w:rsidRPr="00D967B7" w:rsidRDefault="004D72E6" w:rsidP="004D72E6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ТОО «Tax Pro»</w:t>
            </w:r>
          </w:p>
        </w:tc>
      </w:tr>
      <w:tr w:rsidR="0055504B" w:rsidRPr="00D967B7" w14:paraId="6907EA1B" w14:textId="77777777" w:rsidTr="0063503D">
        <w:tc>
          <w:tcPr>
            <w:tcW w:w="1148" w:type="pct"/>
          </w:tcPr>
          <w:p w14:paraId="3E526D44" w14:textId="63058476" w:rsidR="0055504B" w:rsidRPr="00D967B7" w:rsidRDefault="0055504B" w:rsidP="00402551">
            <w:pPr>
              <w:pStyle w:val="a3"/>
              <w:spacing w:before="60"/>
              <w:ind w:left="-120" w:firstLine="262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Процедура № 92 «Выявление несоответствия совокупного годового дохода по ФНО 100.00 с оборотом по реализации по ФНО 300.00»</w:t>
            </w:r>
          </w:p>
        </w:tc>
        <w:tc>
          <w:tcPr>
            <w:tcW w:w="1926" w:type="pct"/>
          </w:tcPr>
          <w:p w14:paraId="13036570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 согласны с инициативой КГД МФ РК в части проведения камерального контроля путем сверки доходов по КПН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и оборотом по реализации по НДС, так как такой подход не учитывает то, что Налоговый кодекс для этих двух налогов устанавливает 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абсолютно разный порядок определения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налоговой базы для целей КПН и для целей НДС. Категорически не верно сравнивать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декларации по этим двум налогам ни по доходам по КПН (обороту по реализации по НДС) – процедура №92, ни по расходам по КПН (зачету по НДС) – процедура №96. Например, безвозмездная реализация является оборотом по реализации для целей исчисления НДС, но не является доходом для целей исчисления КПН; доход от прироста стоимости некоторых активов определяется как разница между стоимостью приобретения и реализации, а для целей обложения НДС вся стоимость актива, и т.п. В связи с чем, отклонения (разницы), выявляемые при сопоставлении соответствующих строк в декларациях по КПН и НДС, являются вполне законными и объяснимыми согласно Налоговому кодексу и не всегда являются ошибкой (нарушением). «Несоответствий» между базами обложения этих налогов очень много, всех исключений прописать невозможно, да и бессмысленно.  </w:t>
            </w:r>
          </w:p>
          <w:p w14:paraId="7B36A796" w14:textId="04572FB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случае введения такой процедуры у налогоплательщика появится ещё одна проблаема, по которой он должен будет постоянно доказывать, что он ничего не нарушил и всё правильно отразил в декларациях. Налогоплательщик априори не должен рассматриваться в качестве нарушителя только потому что сведения в декларациях по двум абсолютно разным налогам не равны между собой. Учитывая то, что уведомление камерального контроля влечет за собой ряд мер (если налоговый орган не согласен с пояснениями налогоплательщика и не принял их), такие как выставление распоряжений на закрытие 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расчетных счетов, введение камерального контроля по предложенным принципам отрицательно повлияет на финансово-хозяйственную деятельность налогоплательщиков. </w:t>
            </w:r>
          </w:p>
        </w:tc>
        <w:tc>
          <w:tcPr>
            <w:tcW w:w="1926" w:type="pct"/>
            <w:vAlign w:val="center"/>
          </w:tcPr>
          <w:p w14:paraId="7AC8162E" w14:textId="302E44D4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 НК КТЖ</w:t>
            </w:r>
          </w:p>
        </w:tc>
      </w:tr>
      <w:tr w:rsidR="0055504B" w:rsidRPr="00D967B7" w14:paraId="5CE37CD0" w14:textId="3937D882" w:rsidTr="0063503D">
        <w:tc>
          <w:tcPr>
            <w:tcW w:w="1148" w:type="pct"/>
          </w:tcPr>
          <w:p w14:paraId="4945A9A3" w14:textId="32D54292" w:rsidR="0055504B" w:rsidRPr="00D967B7" w:rsidRDefault="0055504B" w:rsidP="0055504B">
            <w:pPr>
              <w:pStyle w:val="a3"/>
              <w:spacing w:before="60"/>
              <w:ind w:left="-120"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 примере КПН за 2017 год:</w:t>
            </w:r>
          </w:p>
          <w:p w14:paraId="6E2DBEDD" w14:textId="58D28BC0" w:rsidR="0055504B" w:rsidRPr="00D967B7" w:rsidRDefault="0055504B" w:rsidP="0055504B">
            <w:pPr>
              <w:pStyle w:val="a3"/>
              <w:spacing w:before="60"/>
              <w:ind w:left="-120" w:firstLine="72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iCs/>
                <w:sz w:val="24"/>
                <w:szCs w:val="24"/>
              </w:rPr>
              <w:t>1) СГД для КПН - суммируются данные ФНО 100.00, 110.00, 150.00 и 910.00 (910.00 суммируется если НП применял в течение отчетного периода как общеустановленный режим, так и СНР):</w:t>
            </w:r>
          </w:p>
        </w:tc>
        <w:tc>
          <w:tcPr>
            <w:tcW w:w="1926" w:type="pct"/>
          </w:tcPr>
          <w:p w14:paraId="6C0026F5" w14:textId="63EC8124" w:rsidR="0055504B" w:rsidRPr="00D967B7" w:rsidRDefault="0055504B" w:rsidP="0055504B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Налогоплательщик представляет одну из форм 100.00 или 110.00 или 150.00. В этой связи суммироваться могут только данные формы 100.00 и 910.00 </w:t>
            </w:r>
          </w:p>
        </w:tc>
        <w:tc>
          <w:tcPr>
            <w:tcW w:w="1926" w:type="pct"/>
          </w:tcPr>
          <w:p w14:paraId="1DD68315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«KAZ Minerals Management»</w:t>
            </w:r>
          </w:p>
          <w:p w14:paraId="496F6C95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A5738F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</w:p>
          <w:p w14:paraId="304F1037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79B8E9" w14:textId="642DCA98" w:rsidR="0055504B" w:rsidRPr="00D967B7" w:rsidRDefault="0055504B" w:rsidP="0055504B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Cs/>
                <w:sz w:val="24"/>
                <w:szCs w:val="24"/>
              </w:rPr>
              <w:t>ТОО «Евразийская Группа»</w:t>
            </w:r>
          </w:p>
        </w:tc>
      </w:tr>
      <w:tr w:rsidR="0055504B" w:rsidRPr="00D967B7" w14:paraId="312A358F" w14:textId="77777777" w:rsidTr="0063503D">
        <w:tc>
          <w:tcPr>
            <w:tcW w:w="1148" w:type="pct"/>
          </w:tcPr>
          <w:p w14:paraId="0E2CA1B0" w14:textId="3FF0DD15" w:rsidR="0055504B" w:rsidRPr="00D967B7" w:rsidRDefault="0055504B" w:rsidP="00402551">
            <w:pPr>
              <w:pStyle w:val="a3"/>
              <w:spacing w:before="60"/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а) определяется наибольшее значение из 100.00.001 «Доход от реализации» + 100.00.002 «Доход от прироста стоимости» или 100.00.005 «СГД» - 100.00.003 «Доход от снижения размеров созданных провизий» -100.00.004 «Прочие доходы». К наибольшему значению прибавляется 100.02.003 «Стоимость выбывших фиксированных активов».</w:t>
            </w:r>
          </w:p>
        </w:tc>
        <w:tc>
          <w:tcPr>
            <w:tcW w:w="1926" w:type="pct"/>
          </w:tcPr>
          <w:p w14:paraId="54D7C214" w14:textId="77777777" w:rsidR="0055504B" w:rsidRPr="00D967B7" w:rsidRDefault="0055504B" w:rsidP="0055504B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Несоответствие данных по СГД и облагаемому обороту возникает по следующим причинам:</w:t>
            </w:r>
          </w:p>
          <w:p w14:paraId="743D5AAB" w14:textId="77777777" w:rsidR="0055504B" w:rsidRPr="00D967B7" w:rsidRDefault="0055504B" w:rsidP="0055504B">
            <w:pPr>
              <w:pStyle w:val="a3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строка 100.00.001 «Доход от реализации»</w:t>
            </w: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сопоставлении дохода от реализации, определяемого в целях исчисления КПН, с оборотом по реализации, определяемым в целях исчисления НДС, необходимо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принять во внимание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, что дата и размер признания дохода по МСФО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целях исчисления КПН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 не совпадает с датой и размером совершения оборота по экспорту.</w:t>
            </w:r>
          </w:p>
          <w:p w14:paraId="70CC576A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Так, согласо пункту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3 статьи 228 Налогового кодекса, дата признания дохода от реализации определяется в соответствии с МСФО, согласно которому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доход от реализации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(выручка) признается 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дате перехода права собственности. </w:t>
            </w:r>
          </w:p>
          <w:p w14:paraId="6A42831A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исчисления НДС дата оборота по реализации признается в соответствии со статьей 379 Налогового кодекса:</w:t>
            </w:r>
          </w:p>
          <w:p w14:paraId="14AC778E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 по дате погрузки на транспортное средство – если условиями договора предусмотрена обязанность поставщика (продавца) по доставке;</w:t>
            </w:r>
          </w:p>
          <w:p w14:paraId="377346C6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14:paraId="5C6ED8A5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по дате пересечения границы ЕАЭС или таможенного оформления – при экспорте.</w:t>
            </w:r>
          </w:p>
          <w:p w14:paraId="237A0D0E" w14:textId="77777777" w:rsidR="0055504B" w:rsidRPr="00D967B7" w:rsidRDefault="0055504B" w:rsidP="0055504B">
            <w:pPr>
              <w:pStyle w:val="a3"/>
              <w:numPr>
                <w:ilvl w:val="0"/>
                <w:numId w:val="4"/>
              </w:numPr>
              <w:ind w:left="33" w:firstLine="5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строка 100.00.002 </w:t>
            </w: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«Доходы от прироста стоимости». 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реализации земельного участка, неустановленного оборудования, объектов незавершенного строительства, активов, неиспользуемыхв предпринимательской деятельности, в СГД включается сумма прироста, тогда как в форме 300.00 отражается вся сумма реализации;</w:t>
            </w:r>
          </w:p>
          <w:p w14:paraId="1C53A722" w14:textId="77777777" w:rsidR="0055504B" w:rsidRPr="00D967B7" w:rsidRDefault="0055504B" w:rsidP="0055504B">
            <w:pPr>
              <w:pStyle w:val="a3"/>
              <w:numPr>
                <w:ilvl w:val="0"/>
                <w:numId w:val="4"/>
              </w:numPr>
              <w:ind w:left="33" w:firstLine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строке 100.02.003 «Стоимость выбывших фиксированных активов»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 отражается не только стоимость реализованных активов, но также активов, выбывших по причине:</w:t>
            </w:r>
          </w:p>
          <w:p w14:paraId="503F7D0C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- передачи в качестве вклада в уставный капитал (п.5 ст. 270 НК);</w:t>
            </w:r>
          </w:p>
          <w:p w14:paraId="2EAD09F4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- передачи в результате реорганизации (п.6 ст.270 НК);</w:t>
            </w:r>
          </w:p>
          <w:p w14:paraId="3F63B241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- изъятия имущества учредителем (п.7 ст. 270);</w:t>
            </w:r>
          </w:p>
          <w:p w14:paraId="6EBA2E91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- утраты, порчи (п.8 ст.270)</w:t>
            </w:r>
          </w:p>
          <w:p w14:paraId="77997166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- передачи в доверительное управление (п.11 ст.270)</w:t>
            </w:r>
          </w:p>
          <w:p w14:paraId="54A058A7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- при временном прекращении признания (п.14 ст.270);</w:t>
            </w:r>
          </w:p>
          <w:p w14:paraId="2675EF96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перевод в состав активов, предназначенных для продажи (пп3) п.1 ст.270)</w:t>
            </w:r>
          </w:p>
          <w:p w14:paraId="15751D12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При этом согласно пункту 5 статьи 372 вышеперечисленные операции не являются облагаемым оборотом в целях исчисления НДС.</w:t>
            </w:r>
          </w:p>
          <w:p w14:paraId="48E8EB45" w14:textId="77777777" w:rsidR="0055504B" w:rsidRPr="00D967B7" w:rsidRDefault="0055504B" w:rsidP="0055504B">
            <w:pPr>
              <w:pStyle w:val="a3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строка 100.00.004 «Прочие доходы»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содержит часть доходов, которые признаются облагаемым оборотом при исчислении НДС, однако данная строка не участвует в процедурах камерального контроля, например:</w:t>
            </w:r>
          </w:p>
          <w:p w14:paraId="2A968498" w14:textId="77777777" w:rsidR="0055504B" w:rsidRPr="00D967B7" w:rsidRDefault="0055504B" w:rsidP="0055504B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 (убыток) от продажи предприятия как имущественного комплекса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697C7B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по долгосрочному контракту –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определяются ежегодно расчетным методом. При этом счет-фактура выставляется заказчику по завершению строительства объекта, что влечет временную разницу по признанию доходов в целях КПН и оборота по реализации по НДС;</w:t>
            </w:r>
          </w:p>
          <w:p w14:paraId="48D95C8A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 от эксплуатации объектов социальной сферы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 при исчислении КПН определяется как превышение таких доходов над расходами, понесенными на содержание объектов социальной сферы, тогда как при исчислении НДС вся сумма облагается НДС;</w:t>
            </w:r>
          </w:p>
          <w:p w14:paraId="61439A61" w14:textId="55BFFCAA" w:rsidR="0055504B" w:rsidRPr="00D967B7" w:rsidRDefault="0055504B" w:rsidP="0055504B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отметить, что при безвозмездной передаче имущества у лица, передающего такое имущество, в целях исчисления КПН доход не признается, тогда как такая операции признается облагаемым оборотом при исчислении НДС. </w:t>
            </w:r>
          </w:p>
        </w:tc>
        <w:tc>
          <w:tcPr>
            <w:tcW w:w="1926" w:type="pct"/>
          </w:tcPr>
          <w:p w14:paraId="798652FA" w14:textId="0E183F0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ТОО «Tax Pro»</w:t>
            </w:r>
          </w:p>
        </w:tc>
      </w:tr>
      <w:tr w:rsidR="0055504B" w:rsidRPr="00D967B7" w14:paraId="7C59A938" w14:textId="0EB799A4" w:rsidTr="0063503D">
        <w:tc>
          <w:tcPr>
            <w:tcW w:w="1148" w:type="pct"/>
          </w:tcPr>
          <w:p w14:paraId="48C277E7" w14:textId="3A180E1D" w:rsidR="0055504B" w:rsidRPr="00D967B7" w:rsidRDefault="0055504B" w:rsidP="0055504B">
            <w:pPr>
              <w:pStyle w:val="a3"/>
              <w:spacing w:before="60"/>
              <w:ind w:left="0" w:firstLine="720"/>
              <w:contextualSpacing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Плюс в) 150.00.001 «Доход от реализации» + 150.00.002 «Доход от </w:t>
            </w:r>
            <w:r w:rsidRPr="00D967B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прироста стоимости» +150.00.003 «Доход по производным финансовым инструментам» + 150.00.006 «Доход от уступки права требования» + </w:t>
            </w:r>
            <w:r w:rsidRPr="00D967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150.05.003 «Стоимость выбывших фиксированных активов»</w:t>
            </w:r>
            <w:r w:rsidRPr="00D967B7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D0A3769" w14:textId="77777777" w:rsidR="0055504B" w:rsidRPr="00D967B7" w:rsidRDefault="0055504B" w:rsidP="005550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pct"/>
          </w:tcPr>
          <w:p w14:paraId="73DEE140" w14:textId="0178518E" w:rsidR="0055504B" w:rsidRPr="00D967B7" w:rsidRDefault="0055504B" w:rsidP="0055504B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Несоответствие по данных до СГД и облагаемому обороту возникает по следующим причинам:</w:t>
            </w:r>
          </w:p>
          <w:p w14:paraId="454B968F" w14:textId="7631E9AF" w:rsidR="0055504B" w:rsidRPr="00D967B7" w:rsidRDefault="0055504B" w:rsidP="0055504B">
            <w:pPr>
              <w:pStyle w:val="a3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Строка 150.00.001 «Доход от реализации»</w:t>
            </w: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сопоставлении дохода от реализации, определяемого в целях исичисления КПН, с оборотом по реализации, определяемым в целях исичисления НДС, необходимо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принять во внимание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, что дата и размер признания дохода по МСФО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целях сичисления КПН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 не совпадает с датой и размером совершения оборота по экспорту.</w:t>
            </w:r>
          </w:p>
          <w:p w14:paraId="7FDBD479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Так согласо пункту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3 статьи 228 Налогового кодекса дата признания дохода от реализации определяется в соответствии с МСФО, согласно которому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доход от реализации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(выручка) признается 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дате перехода права собственности. </w:t>
            </w:r>
          </w:p>
          <w:p w14:paraId="2F731A2C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В целях исчисления НДС дата оборота по реализации признается в соответствии со статьей 379 Налогового кодекса:</w:t>
            </w:r>
          </w:p>
          <w:p w14:paraId="6DBFD955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 по дате погрузки на транспортное средство - если условиями договора предусмотрена обязанность поставщика (продавца) по доставке;</w:t>
            </w:r>
          </w:p>
          <w:p w14:paraId="7401796D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</w:p>
          <w:p w14:paraId="779C4BFF" w14:textId="7FDD53D4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по дате пересечения границы ЕАЭС или таможенного оформления – при экспорте.</w:t>
            </w:r>
          </w:p>
          <w:p w14:paraId="16FF87DA" w14:textId="5025AE17" w:rsidR="0055504B" w:rsidRPr="00D967B7" w:rsidRDefault="0055504B" w:rsidP="0055504B">
            <w:pPr>
              <w:pStyle w:val="a3"/>
              <w:numPr>
                <w:ilvl w:val="0"/>
                <w:numId w:val="4"/>
              </w:numPr>
              <w:ind w:left="33" w:firstLine="5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строка 150.00.002 </w:t>
            </w: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«Доходы от прироста стоимости». 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 реализации земельного участка, неустановленного оборудования, объектов незавершенного строительства, активов, неиспользуемыхв предпринимательской деятельности, в СГД включается сумма прироста, тогда как в форме 300.00 отражается вся сумма реализации;</w:t>
            </w:r>
          </w:p>
          <w:p w14:paraId="1695B38D" w14:textId="3DE18BC9" w:rsidR="0055504B" w:rsidRPr="00D967B7" w:rsidRDefault="0055504B" w:rsidP="0055504B">
            <w:pPr>
              <w:pStyle w:val="a3"/>
              <w:numPr>
                <w:ilvl w:val="0"/>
                <w:numId w:val="4"/>
              </w:numPr>
              <w:ind w:left="33" w:firstLine="5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строке 150.05.003 «Стоимость выбывших фиксированных активов»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отражается не только стоимость реализованных активов, но также активов, выбывших по причине:</w:t>
            </w:r>
          </w:p>
          <w:p w14:paraId="0815D63B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- передачи в качестве вклада в уставной капитал (п.5 ст. 270 НК);</w:t>
            </w:r>
          </w:p>
          <w:p w14:paraId="48C85D24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- передачи в результате реорганизации (п.6 ст.270 НК);</w:t>
            </w:r>
          </w:p>
          <w:p w14:paraId="49AA0166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- изъятия имущества учредителем (п.7 ст. 270);</w:t>
            </w:r>
          </w:p>
          <w:p w14:paraId="1A047F4C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- утраты, порчи (п.8 ст.270)</w:t>
            </w:r>
          </w:p>
          <w:p w14:paraId="399446E6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- передачи в доверительное управление (п.11 ст.270)</w:t>
            </w:r>
          </w:p>
          <w:p w14:paraId="0870B98E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- при временном прекращении признания (п.14 ст.270);</w:t>
            </w:r>
          </w:p>
          <w:p w14:paraId="678B2173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- перевод в состав активов, предназначенных для продажи (пп3) п.1 ст.270)</w:t>
            </w:r>
          </w:p>
          <w:p w14:paraId="5F8F20B4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При этом согласно пункту 5 статьи 372 вышеперечисленные операции не являются облагаемым оборотом в целях исчисления НДС.</w:t>
            </w:r>
          </w:p>
          <w:p w14:paraId="72DAA6C5" w14:textId="4B956226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При ведении недропользователем раздельного учета по контрактной и внеконтрактной деятельности в графу 150.05.003 «Стоимость выбывших фиксированных активов» включаются внутреннее перемещение фиксированных активов между контрактной и внеконтрактной деятельностью.</w:t>
            </w:r>
          </w:p>
          <w:p w14:paraId="488649F1" w14:textId="5A599F13" w:rsidR="0055504B" w:rsidRPr="00D967B7" w:rsidRDefault="0055504B" w:rsidP="0055504B">
            <w:pPr>
              <w:pStyle w:val="a3"/>
              <w:numPr>
                <w:ilvl w:val="0"/>
                <w:numId w:val="4"/>
              </w:numPr>
              <w:ind w:left="33" w:firstLine="5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Сумма доходов, полученных недропользователем по деятельности, осуществляемой в рамках заключенного контракта в период до момента начала добычи, в том числе при реализации полезных ископаемых, части права недропользования отражаются в с</w:t>
            </w: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троке «Р» формы 150.03,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которые уменьшают накопленные расходы недропользователя до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начала добычи в соответствии со статьей 258 НК, и не всегда включаются в СГД. Тогда как такие доходы признаются оборотом по реализации при исчислении НДС.</w:t>
            </w:r>
          </w:p>
          <w:p w14:paraId="21A1154E" w14:textId="50947B86" w:rsidR="0055504B" w:rsidRPr="00D967B7" w:rsidRDefault="0055504B" w:rsidP="0055504B">
            <w:pPr>
              <w:pStyle w:val="a3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строка 150.00.015 «Другие доходы»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содержит часть доходов, которые признаются облагаемым оборотом при исчислении НДС, однако данная строка не участвует в процедурах камерального контроля, например:</w:t>
            </w:r>
          </w:p>
          <w:p w14:paraId="27CACA38" w14:textId="1310C39E" w:rsidR="0055504B" w:rsidRPr="00D967B7" w:rsidRDefault="0055504B" w:rsidP="0055504B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 (убыток) от продажи предприятия как имущественного комплекса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AA0728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доходы по долгосрочному контракту -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определяются ежегодно расчетным методом. При этом счет-фактура выставляется заказчику по завершению строительства объекта, что влечет временную разницу по признанию доходов в целях КПН и оборота по реализации по НДС;</w:t>
            </w:r>
          </w:p>
          <w:p w14:paraId="40F0FE82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 от эксплуатации объектов социальной сферы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 при исчислении КПН определяется как превышение таких доходов над расходами, понесенными на содержание объектов социальной сферы, тогда как при исчислении НДС вся сумма облагается НДС;</w:t>
            </w:r>
          </w:p>
          <w:p w14:paraId="4BFC8E49" w14:textId="30BAF4C8" w:rsidR="0055504B" w:rsidRPr="00D967B7" w:rsidRDefault="0055504B" w:rsidP="0055504B">
            <w:pPr>
              <w:pStyle w:val="a3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отметить, что при безвозмездной передаче имущества у лица передающего такое имущество в целях исчисления КПН доход не признается, тогда как такая операции признается облагаемым оборотом при исчислении НДС. Частично безвозмездная передача имущества может быть отражена в следующих строках декларации   150.00.020 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150.00.052А или 150.05.003</w:t>
            </w:r>
          </w:p>
        </w:tc>
        <w:tc>
          <w:tcPr>
            <w:tcW w:w="1926" w:type="pct"/>
          </w:tcPr>
          <w:p w14:paraId="7B53CA29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ТОО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«KAZ Minerals Management»</w:t>
            </w:r>
          </w:p>
          <w:p w14:paraId="587F83A6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EA61C7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</w:p>
          <w:p w14:paraId="70B5ED66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8DD7A2" w14:textId="0E6167A8" w:rsidR="0055504B" w:rsidRPr="00D967B7" w:rsidRDefault="0055504B" w:rsidP="0055504B">
            <w:pPr>
              <w:pStyle w:val="a3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Cs/>
                <w:sz w:val="24"/>
                <w:szCs w:val="24"/>
              </w:rPr>
              <w:t>ТОО «Евразийская Группа»</w:t>
            </w:r>
          </w:p>
        </w:tc>
      </w:tr>
      <w:tr w:rsidR="0055504B" w:rsidRPr="00D967B7" w14:paraId="540E9264" w14:textId="40963E63" w:rsidTr="0063503D">
        <w:tc>
          <w:tcPr>
            <w:tcW w:w="1148" w:type="pct"/>
          </w:tcPr>
          <w:p w14:paraId="16BDC727" w14:textId="2D5CBDD5" w:rsidR="0055504B" w:rsidRPr="00D967B7" w:rsidRDefault="0055504B" w:rsidP="0055504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или б) 300.00.006 «Общий оборот» - 300.00.003 «Корректировка размера облагаемого оборота».</w:t>
            </w:r>
          </w:p>
        </w:tc>
        <w:tc>
          <w:tcPr>
            <w:tcW w:w="1926" w:type="pct"/>
          </w:tcPr>
          <w:p w14:paraId="098DD5C0" w14:textId="6B53B558" w:rsidR="0055504B" w:rsidRPr="00D967B7" w:rsidRDefault="0055504B" w:rsidP="0055504B">
            <w:pPr>
              <w:ind w:firstLine="4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Строка 300.00.003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 имеет как положительное, так и отрицательное значение, поэтому необходимо в шаблоне указать, что сверка производиться без учета показателей строки 300.00.003, в которую переносятся данные из приложения 300.06. При этом данные по корректировки облагаемого оборота из формы 300.06 отражаются в строке 150.00.041. </w:t>
            </w:r>
          </w:p>
        </w:tc>
        <w:tc>
          <w:tcPr>
            <w:tcW w:w="1926" w:type="pct"/>
          </w:tcPr>
          <w:p w14:paraId="32C08A07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«KAZ Minerals Management»</w:t>
            </w:r>
          </w:p>
          <w:p w14:paraId="1F7BEC83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2D1961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</w:p>
          <w:p w14:paraId="0D339C7F" w14:textId="77777777" w:rsidR="0055504B" w:rsidRPr="00D967B7" w:rsidRDefault="0055504B" w:rsidP="0055504B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E44251" w14:textId="2FC0FEF2" w:rsidR="0055504B" w:rsidRPr="00D967B7" w:rsidRDefault="0055504B" w:rsidP="0055504B">
            <w:pPr>
              <w:ind w:firstLine="45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bCs/>
                <w:sz w:val="24"/>
                <w:szCs w:val="24"/>
              </w:rPr>
              <w:t>ТОО «Евразийская Группа»</w:t>
            </w:r>
          </w:p>
        </w:tc>
      </w:tr>
      <w:tr w:rsidR="0055504B" w:rsidRPr="00D967B7" w14:paraId="279A5CA9" w14:textId="75D0FBE8" w:rsidTr="0063503D">
        <w:tc>
          <w:tcPr>
            <w:tcW w:w="5000" w:type="pct"/>
            <w:gridSpan w:val="3"/>
          </w:tcPr>
          <w:p w14:paraId="6D5CF55B" w14:textId="080D98FC" w:rsidR="0055504B" w:rsidRPr="00D967B7" w:rsidRDefault="0055504B" w:rsidP="0055504B">
            <w:pPr>
              <w:tabs>
                <w:tab w:val="left" w:pos="709"/>
              </w:tabs>
              <w:spacing w:before="60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>2. Процедура № 96 «Выявление налогоплательщиков, завысивших расходы по приобретению в декларации по КПН/ИПН по сравнению с декларацией по НДС».</w:t>
            </w:r>
          </w:p>
        </w:tc>
      </w:tr>
      <w:tr w:rsidR="00D44C82" w:rsidRPr="00D967B7" w14:paraId="385E0945" w14:textId="77777777" w:rsidTr="0063503D">
        <w:tc>
          <w:tcPr>
            <w:tcW w:w="1148" w:type="pct"/>
          </w:tcPr>
          <w:p w14:paraId="1A67A503" w14:textId="7DEE7FED" w:rsidR="00D44C82" w:rsidRPr="00D967B7" w:rsidRDefault="00D44C82" w:rsidP="00D44C82">
            <w:pPr>
              <w:pStyle w:val="a4"/>
              <w:tabs>
                <w:tab w:val="left" w:pos="709"/>
              </w:tabs>
              <w:spacing w:before="60"/>
              <w:ind w:firstLine="567"/>
              <w:rPr>
                <w:iCs/>
                <w:snapToGrid w:val="0"/>
                <w:color w:val="000000"/>
                <w:sz w:val="24"/>
                <w:szCs w:val="24"/>
              </w:rPr>
            </w:pPr>
            <w:r w:rsidRPr="00D967B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2.</w:t>
            </w:r>
            <w:r w:rsidRPr="00D967B7">
              <w:rPr>
                <w:rFonts w:eastAsiaTheme="minorHAnsi"/>
                <w:b/>
                <w:bCs/>
                <w:iCs/>
                <w:sz w:val="24"/>
                <w:szCs w:val="24"/>
                <w:lang w:eastAsia="en-US"/>
              </w:rPr>
              <w:t xml:space="preserve"> </w:t>
            </w:r>
            <w:r w:rsidRPr="00D967B7"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  <w:t>Процедура № 96 «Выявление налогоплательщиков, завысивших расходы по приобретению в декларации по КПН/ИПН по сравнению с декларацией по НДС».</w:t>
            </w:r>
          </w:p>
        </w:tc>
        <w:tc>
          <w:tcPr>
            <w:tcW w:w="1926" w:type="pct"/>
          </w:tcPr>
          <w:p w14:paraId="41AE9252" w14:textId="77777777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Помимо вышеизложенного общего обоснования к процедуре №92, </w:t>
            </w:r>
          </w:p>
          <w:p w14:paraId="61302AEE" w14:textId="77777777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Также необходимо учесть, что дата отнесения в зачет по НДС на основании ЭСФ, выписанного в течение 15 дней после реализации, и дата приобретения ТРУ и отнесения на вычет по КПН, согласно Налоговому кодексу, могут быть в разных периодах. То же относится и к НДС на импорт по приобретению в странах ЕврАзЭС, когда оприходование товара было осуществлено, например, 10 декабря, а НДС на импорт уплачен и отнесен в зачет 20 января след.года.  </w:t>
            </w:r>
          </w:p>
          <w:p w14:paraId="15321732" w14:textId="0FEBCFD2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>Кроме того,</w:t>
            </w:r>
            <w:r w:rsidRPr="00D967B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необходимо учесть, что поступление фиксированных активов в декларации по КПН отражается не только в результате приобретения у поставщиков, но и, в</w:t>
            </w:r>
            <w:r w:rsidRPr="00D967B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том числе, в результате получения в качестве вклада в уставной капитал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67B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поступления в результате перевода из состава ТМЗ и т.д. (ст. 268 НК).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При этом указанные операции не являются объектом обложения НДС (п.5 ст.372).</w:t>
            </w:r>
          </w:p>
        </w:tc>
        <w:tc>
          <w:tcPr>
            <w:tcW w:w="1926" w:type="pct"/>
            <w:vAlign w:val="center"/>
          </w:tcPr>
          <w:p w14:paraId="3DB087FF" w14:textId="09822628" w:rsidR="00D44C82" w:rsidRPr="00D967B7" w:rsidRDefault="00D44C82" w:rsidP="00D44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АО НК КТЖ</w:t>
            </w:r>
          </w:p>
        </w:tc>
      </w:tr>
      <w:tr w:rsidR="00D44C82" w:rsidRPr="00D967B7" w14:paraId="1B60DB4C" w14:textId="77777777" w:rsidTr="0063503D">
        <w:tc>
          <w:tcPr>
            <w:tcW w:w="1148" w:type="pct"/>
          </w:tcPr>
          <w:p w14:paraId="04EE7132" w14:textId="0D9E165B" w:rsidR="00D44C82" w:rsidRPr="00D967B7" w:rsidRDefault="00D44C82" w:rsidP="00402551">
            <w:pPr>
              <w:pStyle w:val="a4"/>
              <w:tabs>
                <w:tab w:val="left" w:pos="709"/>
              </w:tabs>
              <w:spacing w:before="60"/>
              <w:ind w:firstLine="567"/>
              <w:rPr>
                <w:iCs/>
                <w:snapToGrid w:val="0"/>
                <w:color w:val="000000"/>
                <w:sz w:val="24"/>
                <w:szCs w:val="24"/>
              </w:rPr>
            </w:pPr>
            <w:r w:rsidRPr="00D967B7">
              <w:rPr>
                <w:iCs/>
                <w:snapToGrid w:val="0"/>
                <w:color w:val="000000"/>
                <w:sz w:val="24"/>
                <w:szCs w:val="24"/>
              </w:rPr>
              <w:lastRenderedPageBreak/>
              <w:t>- общая сумма 100.00.009_III «Приобретено запасов, работ и услуг всего» + 100.02.002 «Стоимость поступивших фиксированных активов» больше общей суммы 300.00.021 «Всего приобретено»</w:t>
            </w:r>
          </w:p>
        </w:tc>
        <w:tc>
          <w:tcPr>
            <w:tcW w:w="1926" w:type="pct"/>
          </w:tcPr>
          <w:p w14:paraId="263AA6DD" w14:textId="77777777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lang w:eastAsia="ru-RU"/>
              </w:rPr>
              <w:t xml:space="preserve">В строке 100.02.002 </w:t>
            </w:r>
            <w:r w:rsidRPr="00D967B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отражается не только стоимость приобретенных активов, а также стоимость активов, поступивших в результате (ст. 268 НК):</w:t>
            </w:r>
          </w:p>
          <w:p w14:paraId="33202CF3" w14:textId="77777777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перевода из состава ТМЗ, незавершенного строительства, активов, предназначенных для продажи;</w:t>
            </w:r>
          </w:p>
          <w:p w14:paraId="746936BF" w14:textId="77777777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получения в качестве вклада в уставной капитал;</w:t>
            </w:r>
          </w:p>
          <w:p w14:paraId="036640BD" w14:textId="77777777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при реорганизации;</w:t>
            </w:r>
          </w:p>
          <w:p w14:paraId="04CE562D" w14:textId="77777777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при доверительном управлении;</w:t>
            </w:r>
          </w:p>
          <w:p w14:paraId="7ACCA2B5" w14:textId="77777777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при аннулировании преференций;</w:t>
            </w:r>
          </w:p>
          <w:p w14:paraId="178AF9F6" w14:textId="77777777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- при прекращении срока временного выбытия актива</w:t>
            </w:r>
          </w:p>
          <w:p w14:paraId="4A793965" w14:textId="49A3FDC0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При этом вышеперечисленные операции не отражаются в строке 300.00.021.</w:t>
            </w:r>
          </w:p>
        </w:tc>
        <w:tc>
          <w:tcPr>
            <w:tcW w:w="1926" w:type="pct"/>
          </w:tcPr>
          <w:p w14:paraId="279BB44E" w14:textId="079BD07A" w:rsidR="00D44C82" w:rsidRPr="00D967B7" w:rsidRDefault="00D44C82" w:rsidP="00D44C8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ТОО «Tax Pro»</w:t>
            </w:r>
          </w:p>
        </w:tc>
      </w:tr>
      <w:tr w:rsidR="00D44C82" w:rsidRPr="00D967B7" w14:paraId="734673F9" w14:textId="223D8A7D" w:rsidTr="0063503D">
        <w:tc>
          <w:tcPr>
            <w:tcW w:w="1148" w:type="pct"/>
          </w:tcPr>
          <w:p w14:paraId="4BFFA25C" w14:textId="77777777" w:rsidR="00D44C82" w:rsidRPr="00D967B7" w:rsidRDefault="00D44C82" w:rsidP="00D44C82">
            <w:pPr>
              <w:pStyle w:val="a4"/>
              <w:tabs>
                <w:tab w:val="left" w:pos="709"/>
              </w:tabs>
              <w:spacing w:before="60"/>
              <w:ind w:firstLine="567"/>
              <w:rPr>
                <w:iCs/>
                <w:snapToGrid w:val="0"/>
                <w:color w:val="000000" w:themeColor="text1"/>
                <w:sz w:val="24"/>
                <w:szCs w:val="24"/>
              </w:rPr>
            </w:pPr>
            <w:r w:rsidRPr="00D967B7">
              <w:rPr>
                <w:iCs/>
                <w:snapToGrid w:val="0"/>
                <w:color w:val="000000" w:themeColor="text1"/>
                <w:sz w:val="24"/>
                <w:szCs w:val="24"/>
              </w:rPr>
              <w:t>-  общая сумма 150.00.020_III «Приобретено ТМЗ, работ и услуг всего» + 150.05.002 «Стоимость поступивших фиксированных активов» больше общей суммы 300.00.021 «Всего приобретено»,</w:t>
            </w:r>
          </w:p>
          <w:p w14:paraId="739F3496" w14:textId="77777777" w:rsidR="00D44C82" w:rsidRPr="00D967B7" w:rsidRDefault="00D44C82" w:rsidP="00D44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pct"/>
          </w:tcPr>
          <w:p w14:paraId="1DC27FC4" w14:textId="0957478E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В строке 150.05.002 </w:t>
            </w:r>
            <w:r w:rsidRPr="00D967B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отражается не только стоимость приобретенных активов, а также стоимость активов, поступивших в результате (ст. 268 НК):</w:t>
            </w:r>
          </w:p>
          <w:p w14:paraId="49AC4DE1" w14:textId="77777777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- перевода из состава ТМЗ, незавершенного строительства, активов, предназначенных для продажи;</w:t>
            </w:r>
          </w:p>
          <w:p w14:paraId="72349C1C" w14:textId="77777777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- получения в качестве вклада в уставной капитал;</w:t>
            </w:r>
          </w:p>
          <w:p w14:paraId="6755C32C" w14:textId="77777777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- при реорганизации;</w:t>
            </w:r>
          </w:p>
          <w:p w14:paraId="602D697E" w14:textId="77777777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- при доверительном управлении;</w:t>
            </w:r>
          </w:p>
          <w:p w14:paraId="4934DFF0" w14:textId="77777777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- при аннулировании преференций;</w:t>
            </w:r>
          </w:p>
          <w:p w14:paraId="0C7FD9E0" w14:textId="77777777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- при прекращении срока временного выбытия актива</w:t>
            </w:r>
          </w:p>
          <w:p w14:paraId="1FD61821" w14:textId="77777777" w:rsidR="00D44C82" w:rsidRPr="00D967B7" w:rsidRDefault="00D44C82" w:rsidP="00D44C82">
            <w:pPr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этом согласно пункту 5 статьи 372 вышеперечисленные операции не являются облагаемым оборотом в целях исчисления НДС.</w:t>
            </w:r>
          </w:p>
          <w:p w14:paraId="3DB1648A" w14:textId="6A68F355" w:rsidR="00D44C82" w:rsidRPr="00D967B7" w:rsidRDefault="00D44C82" w:rsidP="00D44C8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При ведении недропользователем раздельного учета по контрактной и внеконтрактной деятельности в графу 150.05.002 «Стоимость поступивших фиксированных активов» включаются внутреннее перемещение фиксированных активов между контрактной и внеконтрактной деятельностью.</w:t>
            </w:r>
          </w:p>
        </w:tc>
        <w:tc>
          <w:tcPr>
            <w:tcW w:w="1926" w:type="pct"/>
          </w:tcPr>
          <w:p w14:paraId="18C58DD3" w14:textId="77777777" w:rsidR="00D44C82" w:rsidRPr="00D967B7" w:rsidRDefault="00D44C82" w:rsidP="00D44C8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ТОО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«KAZ Minerals Management»</w:t>
            </w:r>
          </w:p>
          <w:p w14:paraId="6DDE8BA6" w14:textId="77777777" w:rsidR="00D44C82" w:rsidRPr="00D967B7" w:rsidRDefault="00D44C82" w:rsidP="00D44C8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A061C2" w14:textId="77777777" w:rsidR="00D44C82" w:rsidRPr="00D967B7" w:rsidRDefault="00D44C82" w:rsidP="00D44C8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D967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967B7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</w:p>
          <w:p w14:paraId="5CD30C18" w14:textId="77777777" w:rsidR="00D44C82" w:rsidRPr="00D967B7" w:rsidRDefault="00D44C82" w:rsidP="00D44C8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F69C93" w14:textId="2783CC89" w:rsidR="00D44C82" w:rsidRPr="00D967B7" w:rsidRDefault="00D44C82" w:rsidP="00D44C82">
            <w:pPr>
              <w:tabs>
                <w:tab w:val="left" w:pos="709"/>
              </w:tabs>
              <w:spacing w:before="6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D967B7">
              <w:rPr>
                <w:rFonts w:ascii="Times New Roman" w:hAnsi="Times New Roman" w:cs="Times New Roman"/>
                <w:bCs/>
                <w:sz w:val="24"/>
                <w:szCs w:val="24"/>
              </w:rPr>
              <w:t>ТОО «Евразийская Группа»</w:t>
            </w:r>
          </w:p>
        </w:tc>
      </w:tr>
    </w:tbl>
    <w:p w14:paraId="3C885C52" w14:textId="0AE07DC6" w:rsidR="00EB2418" w:rsidRPr="0063503D" w:rsidRDefault="00EB2418" w:rsidP="0014174D">
      <w:pPr>
        <w:rPr>
          <w:sz w:val="24"/>
          <w:szCs w:val="24"/>
        </w:rPr>
      </w:pPr>
    </w:p>
    <w:sectPr w:rsidR="00EB2418" w:rsidRPr="0063503D" w:rsidSect="00013390">
      <w:footerReference w:type="default" r:id="rId7"/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C939E0" w14:textId="77777777" w:rsidR="00193B3B" w:rsidRDefault="00193B3B" w:rsidP="0006202A">
      <w:pPr>
        <w:spacing w:after="0" w:line="240" w:lineRule="auto"/>
      </w:pPr>
      <w:r>
        <w:separator/>
      </w:r>
    </w:p>
  </w:endnote>
  <w:endnote w:type="continuationSeparator" w:id="0">
    <w:p w14:paraId="19FE5CA9" w14:textId="77777777" w:rsidR="00193B3B" w:rsidRDefault="00193B3B" w:rsidP="0006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205987664"/>
      <w:docPartObj>
        <w:docPartGallery w:val="Page Numbers (Bottom of Page)"/>
        <w:docPartUnique/>
      </w:docPartObj>
    </w:sdtPr>
    <w:sdtEndPr/>
    <w:sdtContent>
      <w:p w14:paraId="70F40291" w14:textId="035904C0" w:rsidR="0006202A" w:rsidRPr="0014174D" w:rsidRDefault="0006202A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417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4174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417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524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417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A54A2FE" w14:textId="77777777" w:rsidR="0006202A" w:rsidRPr="0014174D" w:rsidRDefault="0006202A">
    <w:pPr>
      <w:pStyle w:val="ab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EB245" w14:textId="77777777" w:rsidR="00193B3B" w:rsidRDefault="00193B3B" w:rsidP="0006202A">
      <w:pPr>
        <w:spacing w:after="0" w:line="240" w:lineRule="auto"/>
      </w:pPr>
      <w:r>
        <w:separator/>
      </w:r>
    </w:p>
  </w:footnote>
  <w:footnote w:type="continuationSeparator" w:id="0">
    <w:p w14:paraId="27141EDD" w14:textId="77777777" w:rsidR="00193B3B" w:rsidRDefault="00193B3B" w:rsidP="00062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F749D"/>
    <w:multiLevelType w:val="hybridMultilevel"/>
    <w:tmpl w:val="2F681D22"/>
    <w:lvl w:ilvl="0" w:tplc="D486BCB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D33728"/>
    <w:multiLevelType w:val="hybridMultilevel"/>
    <w:tmpl w:val="413C2FFC"/>
    <w:lvl w:ilvl="0" w:tplc="101C4902">
      <w:start w:val="1"/>
      <w:numFmt w:val="decimal"/>
      <w:suff w:val="space"/>
      <w:lvlText w:val="%1)"/>
      <w:lvlJc w:val="left"/>
      <w:pPr>
        <w:ind w:left="1353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D1C40F9"/>
    <w:multiLevelType w:val="hybridMultilevel"/>
    <w:tmpl w:val="2F681D22"/>
    <w:lvl w:ilvl="0" w:tplc="D486BCB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742C16"/>
    <w:multiLevelType w:val="hybridMultilevel"/>
    <w:tmpl w:val="6896D14C"/>
    <w:lvl w:ilvl="0" w:tplc="F450458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11325"/>
    <w:multiLevelType w:val="hybridMultilevel"/>
    <w:tmpl w:val="6896D14C"/>
    <w:lvl w:ilvl="0" w:tplc="F450458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32BD5"/>
    <w:multiLevelType w:val="hybridMultilevel"/>
    <w:tmpl w:val="93409B86"/>
    <w:lvl w:ilvl="0" w:tplc="6D5CCF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537227"/>
    <w:multiLevelType w:val="hybridMultilevel"/>
    <w:tmpl w:val="C534F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454AAD"/>
    <w:multiLevelType w:val="hybridMultilevel"/>
    <w:tmpl w:val="DE3A0DA6"/>
    <w:lvl w:ilvl="0" w:tplc="D74C368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3B4"/>
    <w:rsid w:val="00012B55"/>
    <w:rsid w:val="00013390"/>
    <w:rsid w:val="0006202A"/>
    <w:rsid w:val="00065034"/>
    <w:rsid w:val="000851F6"/>
    <w:rsid w:val="0009148C"/>
    <w:rsid w:val="001065C0"/>
    <w:rsid w:val="00113819"/>
    <w:rsid w:val="0014174D"/>
    <w:rsid w:val="00193B3B"/>
    <w:rsid w:val="001A55DC"/>
    <w:rsid w:val="00215F63"/>
    <w:rsid w:val="00230C13"/>
    <w:rsid w:val="002343AD"/>
    <w:rsid w:val="002B6461"/>
    <w:rsid w:val="00402551"/>
    <w:rsid w:val="00437660"/>
    <w:rsid w:val="0049403F"/>
    <w:rsid w:val="004D72E6"/>
    <w:rsid w:val="00511EB8"/>
    <w:rsid w:val="00527878"/>
    <w:rsid w:val="0055504B"/>
    <w:rsid w:val="0056320D"/>
    <w:rsid w:val="00563D1B"/>
    <w:rsid w:val="00597941"/>
    <w:rsid w:val="005A7789"/>
    <w:rsid w:val="005F448E"/>
    <w:rsid w:val="00613C47"/>
    <w:rsid w:val="0063503D"/>
    <w:rsid w:val="00683994"/>
    <w:rsid w:val="006E2C62"/>
    <w:rsid w:val="007273B4"/>
    <w:rsid w:val="00730BA1"/>
    <w:rsid w:val="00740A7A"/>
    <w:rsid w:val="0077522C"/>
    <w:rsid w:val="007B30A3"/>
    <w:rsid w:val="007B3DE4"/>
    <w:rsid w:val="007B7204"/>
    <w:rsid w:val="007F7913"/>
    <w:rsid w:val="00813413"/>
    <w:rsid w:val="00842D08"/>
    <w:rsid w:val="008C3C18"/>
    <w:rsid w:val="008F1CE4"/>
    <w:rsid w:val="00961A31"/>
    <w:rsid w:val="009733A8"/>
    <w:rsid w:val="009B0BE8"/>
    <w:rsid w:val="009F576B"/>
    <w:rsid w:val="00B74DB1"/>
    <w:rsid w:val="00B924A0"/>
    <w:rsid w:val="00CC48DF"/>
    <w:rsid w:val="00CE5799"/>
    <w:rsid w:val="00D44C82"/>
    <w:rsid w:val="00D6353C"/>
    <w:rsid w:val="00D967B7"/>
    <w:rsid w:val="00E017BF"/>
    <w:rsid w:val="00E10A73"/>
    <w:rsid w:val="00E619DB"/>
    <w:rsid w:val="00E77E39"/>
    <w:rsid w:val="00E854D5"/>
    <w:rsid w:val="00EB2418"/>
    <w:rsid w:val="00EB5A9A"/>
    <w:rsid w:val="00ED335D"/>
    <w:rsid w:val="00EF66A0"/>
    <w:rsid w:val="00F23096"/>
    <w:rsid w:val="00F35246"/>
    <w:rsid w:val="00F6448D"/>
    <w:rsid w:val="00F85B49"/>
    <w:rsid w:val="00F91D0D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368FC"/>
  <w15:chartTrackingRefBased/>
  <w15:docId w15:val="{69618AA5-51F9-4AF7-B4F3-BB258B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3B4"/>
    <w:pPr>
      <w:ind w:left="720"/>
      <w:contextualSpacing/>
    </w:pPr>
  </w:style>
  <w:style w:type="paragraph" w:customStyle="1" w:styleId="a4">
    <w:name w:val="ОснТхт"/>
    <w:basedOn w:val="a"/>
    <w:link w:val="a5"/>
    <w:rsid w:val="001138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Тхт Знак"/>
    <w:basedOn w:val="a0"/>
    <w:link w:val="a4"/>
    <w:locked/>
    <w:rsid w:val="001138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BA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E8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6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202A"/>
  </w:style>
  <w:style w:type="paragraph" w:styleId="ab">
    <w:name w:val="footer"/>
    <w:basedOn w:val="a"/>
    <w:link w:val="ac"/>
    <w:uiPriority w:val="99"/>
    <w:unhideWhenUsed/>
    <w:rsid w:val="00062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2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Ovsyannikova</dc:creator>
  <cp:keywords/>
  <dc:description/>
  <cp:lastModifiedBy>Пользователь Windows</cp:lastModifiedBy>
  <cp:revision>2</cp:revision>
  <cp:lastPrinted>2020-01-31T11:50:00Z</cp:lastPrinted>
  <dcterms:created xsi:type="dcterms:W3CDTF">2020-07-09T08:25:00Z</dcterms:created>
  <dcterms:modified xsi:type="dcterms:W3CDTF">2020-07-09T08:25:00Z</dcterms:modified>
</cp:coreProperties>
</file>